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Fülpösdaróc Község Önkormányzat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Képvisel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ületének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1/2017. (II.14.)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önkormányzati rendelete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369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Az Önkormányzat 2017. évi költségvetésér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</w:t>
      </w:r>
    </w:p>
    <w:p>
      <w:pPr>
        <w:tabs>
          <w:tab w:val="left" w:pos="3369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Fülpösdaróc Község Önkormányzat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ülete az Alaptörvény 32. cikk (2) bekezdésében meghatározott feladatkörében, eredeti jogalkotói hatáskörében eljárva, az Alaptörvény 32. cikk (1) bekezdés f) pontjában kapott felhatalmazás alapján az önkormányzat 2017. évi költségvetésér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őket rendeli el: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rendelet hatálya a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ületre, annak bizottságaira, a közös önkormányzati hivatalra, és az önkormányzat irányítása alá tartozó költségvetési szervekre (intézményekre) terjed ki.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költségvetés kiadásai és bevételei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(1)</w:t>
        <w:tab/>
        <w:t xml:space="preserve">A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az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önkormányzat 2017. évi költségvetését:</w:t>
      </w:r>
    </w:p>
    <w:tbl>
      <w:tblPr>
        <w:tblInd w:w="2622" w:type="dxa"/>
      </w:tblPr>
      <w:tblGrid>
        <w:gridCol w:w="2693"/>
        <w:gridCol w:w="2735"/>
      </w:tblGrid>
      <w:tr>
        <w:trPr>
          <w:trHeight w:val="1" w:hRule="atLeast"/>
          <w:jc w:val="left"/>
        </w:trPr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a)    34.770.067 Ft</w:t>
            </w:r>
          </w:p>
        </w:tc>
        <w:tc>
          <w:tcPr>
            <w:tcW w:w="2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Költségvetési bevétellel</w:t>
            </w:r>
          </w:p>
        </w:tc>
      </w:tr>
      <w:tr>
        <w:trPr>
          <w:trHeight w:val="1" w:hRule="atLeast"/>
          <w:jc w:val="left"/>
        </w:trPr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b)   46.127.007 Ft</w:t>
            </w:r>
          </w:p>
        </w:tc>
        <w:tc>
          <w:tcPr>
            <w:tcW w:w="2735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Költségvetési kiadással</w:t>
            </w:r>
          </w:p>
        </w:tc>
      </w:tr>
      <w:tr>
        <w:trPr>
          <w:trHeight w:val="1" w:hRule="atLeast"/>
          <w:jc w:val="left"/>
        </w:trPr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c)  -11.356.940 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11.356.940 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Költségvetési egyenleggel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ebb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ől műk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ödési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4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állapítja meg.</w:t>
      </w:r>
    </w:p>
    <w:p>
      <w:pPr>
        <w:spacing w:before="0" w:after="0" w:line="240"/>
        <w:ind w:right="0" w:left="4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</w:t>
        <w:tab/>
        <w:t xml:space="preserve">Az (1) bekezdésben megállapított költségvetési bevételek forrásonkénti, a költségvetési kiadások jogcímenkénti megoszlását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önkormányzati szinten, továbbá a finanszírozási bevételeket és kiadásokat a rendelet 1. melléklete alapján határozza meg a képvisel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ület.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(3)</w:t>
        <w:tab/>
        <w:t xml:space="preserve">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és felhalmozási bevételek és kiadások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ányzatai mérlegszer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bemutat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ását önkormányzati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szinten a 2.1. és a 2.2. melléklet részletezi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(4) A költségvetési bevételeket és költségvetési kiadásokat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 csoportok, kiemelt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ányzatok és azon belül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feladatok,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önként vállalt feladatok, állami (államigazgatási) feladatok szerinti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bontásban az 1.2., 1.3., 1.4. mellékletek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részletezik.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(5)</w:t>
        <w:tab/>
        <w:t xml:space="preserve">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hiány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finansz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írozásának érdekében a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az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 költségvetési maradványának igénybevételét rendeli el, továbbá az önkormányzatok kiegészít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ámogatásra vonatkozó pályázat benyújtását rendeli el, az igénylésér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 műk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épességet veszélyeztet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helyzet 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ében a polgármester gondoskodik, külön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ületi döntés alapján.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hanging="426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 A költségvetés részletezése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 Képvisel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ület az önkormányzat 2017. évi költségvetését részletesen a következ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ők szerint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állapítja meg:</w:t>
      </w:r>
    </w:p>
    <w:p>
      <w:pPr>
        <w:tabs>
          <w:tab w:val="left" w:pos="456" w:leader="none"/>
          <w:tab w:val="left" w:pos="993" w:leader="none"/>
        </w:tabs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(1)</w:t>
        <w:tab/>
        <w:t xml:space="preserve">Az önkormányzat adósságot keletkeztet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ügyletekb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 kezességvállalásokból fennálló kötelezettségeit a 3. melléklet részletezi.</w:t>
      </w:r>
    </w:p>
    <w:p>
      <w:pPr>
        <w:tabs>
          <w:tab w:val="left" w:pos="456" w:leader="none"/>
        </w:tabs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(2)</w:t>
        <w:tab/>
        <w:t xml:space="preserve">Az önkormányzat saját bevételeinek részletezését az adósságot keletkeztet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ügyletb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ármazó tárgyévi fizetési kötelezettség megállapításához a 4. melléklet tartalmazza.     </w:t>
      </w:r>
    </w:p>
    <w:p>
      <w:pPr>
        <w:tabs>
          <w:tab w:val="left" w:pos="456" w:leader="none"/>
        </w:tabs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(3)</w:t>
        <w:tab/>
        <w:t xml:space="preserve">Az önkormányzat 2017. évi adósságot keletkeztet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fejleszt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ési céljait az 5. melléklet részletezi.      </w:t>
      </w:r>
    </w:p>
    <w:p>
      <w:pPr>
        <w:tabs>
          <w:tab w:val="left" w:pos="456" w:leader="none"/>
        </w:tabs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(4)</w:t>
        <w:tab/>
        <w:t xml:space="preserve">Az önkormányzat költségvetésében szerepl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beruh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ázások kiadásainak beruházásonkénti részletezését a 6. melléklet szerint határozza meg.</w:t>
      </w:r>
    </w:p>
    <w:p>
      <w:pPr>
        <w:tabs>
          <w:tab w:val="left" w:pos="456" w:leader="none"/>
        </w:tabs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(5)</w:t>
        <w:tab/>
        <w:t xml:space="preserve">Az önkormányzat költségvetésében szerepl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fel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újítások kiadásait felújításonként a 7. melléklet szerint részletezi.</w:t>
      </w:r>
    </w:p>
    <w:p>
      <w:pPr>
        <w:tabs>
          <w:tab w:val="left" w:pos="456" w:leader="none"/>
        </w:tabs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(6)</w:t>
        <w:tab/>
        <w:t xml:space="preserve">Az EU-s támogatással megvalósuló programokat és projekteket, valamint az önkormányzaton kívül megvalósuló projektekhez való hozzájárulást a 8. melléklet szerint hagyja jóvá.</w:t>
      </w:r>
    </w:p>
    <w:p>
      <w:pPr>
        <w:tabs>
          <w:tab w:val="left" w:pos="456" w:leader="none"/>
        </w:tabs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(7)</w:t>
        <w:tab/>
        <w:t xml:space="preserve">A 2. § (1) bekezdésében megállapított bevételek és kiadások önkormányzati, továbbá költségvetési szervenkénti megoszlását, és az éves (engedélyezett) létszám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ányzatot és a közfoglalkoztatottak létszámát költségvetési szervenként, feladatonként a 9.1.,9.1.1., 9.1.2.,9.1.3.,  mellékletek szerint határozza meg.</w:t>
      </w:r>
    </w:p>
    <w:p>
      <w:pPr>
        <w:tabs>
          <w:tab w:val="left" w:pos="456" w:leader="none"/>
        </w:tabs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(8) Az önkormányzat 2017. évi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ányzat felhasználási tervét a 11. melléklet, az önkormányzat által adott közvetett támogatásokról szóló kimutatást a 12. melléklet,  a többéves kihatással járó döntések számszer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ítését évenkénti bontásban és összesítve célok szerint a 13.,  melléklet tartalmazza.</w:t>
      </w:r>
    </w:p>
    <w:p>
      <w:p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(9)</w:t>
        <w:tab/>
        <w:t xml:space="preserve">Az önkormányzat a kiadások között  100 E Ft általános, és 100 E Ft céltartalékot állapít meg.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tartalékkal való rendelkezés jogát a képvisel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ület fenntartja magának.</w:t>
      </w:r>
    </w:p>
    <w:p>
      <w:p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A költségvetés végrehajtásának szabályai</w:t>
      </w:r>
    </w:p>
    <w:p>
      <w:pPr>
        <w:tabs>
          <w:tab w:val="left" w:pos="456" w:leader="none"/>
        </w:tabs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(1)</w:t>
        <w:tab/>
        <w:t xml:space="preserve">Az önkormányzati szint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öltségvetés végrehajtásáért a polgármester, a könyvvezetéssel kapcsolatos feladatok ellátásáért a 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felelős.</w:t>
      </w:r>
    </w:p>
    <w:p>
      <w:p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(2)</w:t>
        <w:tab/>
        <w:t xml:space="preserve">Az önkormányzat gazdálkodásának biztonságáért a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ület, a gazdálkodás szabályszer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égéért a polgármester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ős.</w:t>
      </w:r>
    </w:p>
    <w:p>
      <w:pPr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(3)</w:t>
        <w:tab/>
        <w:t xml:space="preserve">A költségvetési hiány csökkentése érdekében évközben folyamatosan figyelemmel kell kísérni a kiadások csökkentésének és a bevételek növelésének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égeit. </w:t>
      </w:r>
    </w:p>
    <w:p>
      <w:pPr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(4)</w:t>
        <w:tab/>
        <w:t xml:space="preserve">Amennyiben a költségvetési szerv 30 napon túli, elismert tartozásállományának mértéke eléri az éves  eredeti kiadási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ányzatának 10%-át, vagy a 150 millió forintot, és a tartozását egy hónapon belül nem tudja 30 nap alá szorítani, akkor az irányító szerv a költségvetési szervnél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észségbiztosítási szerv által finanszírozott költségvetési szerv esetén az egészségbiztosítási szerv kérésére, vagy ha az egészségbiztosítási szerv azt nem kérte, véleményének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őzetes kik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érésével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önkormányzati biztost jelöl ki. </w:t>
      </w:r>
    </w:p>
    <w:p>
      <w:pPr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(5)</w:t>
        <w:tab/>
        <w:t xml:space="preserve">A költségvetési szerv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 rendelet 10. mell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ékletében foglalt adatlapon köteles a tartozásállományról adatot szolgáltatni. A költségvetési szerv az általa elismert tartozásállomány tekintetében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nemleges adat eset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én is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havonta a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árgyhó 25-i állapotnak megfelel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ően a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árgyhónapot követ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 10-ig az önkormányzat jegyz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ője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észére köteles adatszolgáltatást teljesíteni.</w:t>
      </w:r>
    </w:p>
    <w:p>
      <w:pPr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(6) Az államháztartási törvény  97.§ (3) bekezdésében foglaltak alkalmazása során  a kisösszeg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övetelések értékhatára 100.000 Forint.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(7) A finanszírozási bevételekkel és kiadásokkal kapcsolatos hatásköröket a Képvisel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ület gyakorolja.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(8) A finanszírozási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űveletekkel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összefügg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nyilatkozatok megt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ételére az önkormányzat nevében a polgármester jogosult, a jegyz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jogi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 a pénzügyi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 pénzügyi ellenjegyzése mellett.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(9) A költségvetési szerveknél a jutalmazásra fordítható és kifizethet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összeg nem haladhatja meg a rendszeres személyi juttatások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ányzatának 40 %-át. Ennek fedezetére a személyi juttatások évközi megtakarítása és a személyi juttatások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ányzatának növelésére fordítható forrás szolgálhat.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4.Az 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ányzatok módosítása</w:t>
      </w:r>
    </w:p>
    <w:p>
      <w:pPr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(1)</w:t>
        <w:tab/>
        <w:t xml:space="preserve">Az önkormányzat bevételeinek és kiadásainak módosításáról, a kiadási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ányzatok közötti átcsoportosításról a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dönt. 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  A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az Önkormányzat bevételeinek és kiadásainak módosítását és kiadási kiemelt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ányzatok közötti átcsoportosítás jogát 1.000.000,- forint összeghatárig- mely esetenként az összeghatárt nem haladhatja meg, a polgármesterre átruházza. Egyéb esetekben a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a kiadási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ányzatok közötti átcsoportosítás jogát fenntartja magának.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(3) A (2) bekezdésben foglalt átcsoportosításról a polgármester negyedévente köteles beszámolni, a költségvetés módosítására egyidej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űleg javaslatot tenni.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átruházott hatáskör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előir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ányzat-módosítási jogkör 2017. december 31-ig gyakorolható.</w:t>
      </w:r>
    </w:p>
    <w:p>
      <w:pPr>
        <w:spacing w:before="0" w:after="0" w:line="240"/>
        <w:ind w:right="0" w:left="454" w:hanging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(4)</w:t>
        <w:tab/>
        <w:t xml:space="preserve">A költségvetési szervek bevételi és kiadási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ányzatai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ányzatokon belüli rovatok között saját hatáskörben módosíthatók, a kiadási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ányzatok egymás között átcsoportosíthatók. 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(5) A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a költségvetési rendelet 5. §  szerinti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ányzat-módosítás,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ányzat-átcsoportosítás átvezetéseként - az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negyed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 kivételével 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t xml:space="preserve">negyedévenként,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legkés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éves költségvetési beszámoló elkészítésének határidejéig, december 31-ei hatállyal módosítja a költségvetési rendeletét. Ha év közben az Országgy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hozzájárulások, támogatások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ányzatait zárolja, azokat csökkenti, törli, az intézkedés kihirdetését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halad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éktalanul a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elé kell terjeszteni a költségvetési rendelet módosítását.</w:t>
      </w:r>
    </w:p>
    <w:p>
      <w:pPr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(6)</w:t>
        <w:tab/>
        <w:t xml:space="preserve">Amennyiben az önkormányzat év közben a költségvetési rendelet készítésekor nem ismert többletbevételhez jut, vagy bevételei a tervezett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elmaradnak, arr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a polgármester a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ületet tájékoztatja. </w:t>
      </w:r>
    </w:p>
    <w:p>
      <w:pPr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(7)</w:t>
        <w:tab/>
        <w:t xml:space="preserve">A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által jóváhagyott kiemelt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ányzatokat a munkamegosztási megállapodásban foglalt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ányzatok felett rendelkez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önállóan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öltségvetési szerv köteles betartani. Az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 túllépés fegyelmi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éget von maga után.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5.A gazdálkodás szabályai</w:t>
      </w:r>
    </w:p>
    <w:p>
      <w:pPr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6.§ (1)</w:t>
        <w:tab/>
        <w:t xml:space="preserve">Valamennyi költségvetési szerv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ályzatban rögzíteni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ödéshez, gazdálkodáshoz kapcsolódóan a gazdálkodás vitelét meghatározó szabályokat, a mindenkor érvényes központi szabályozás figyelembe vételével, illetve a szükséges módosításokat végrehajtani. A szabályozásbeli hiányosságért, a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a mindenkori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terheli.</w:t>
      </w:r>
    </w:p>
    <w:p>
      <w:pPr>
        <w:spacing w:before="0" w:after="0" w:line="240"/>
        <w:ind w:right="0" w:left="456" w:hanging="4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</w:t>
        <w:tab/>
        <w:t xml:space="preserve">A közös önkormányzati hivatal, valamint a költségvetési szervek az évközi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ányzat-módosításokról a 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elrendelt formában kötelesek naprakész nyilvántartást vezetni.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A költségvetés végrehajtásának ellen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(1)</w:t>
        <w:tab/>
        <w:t xml:space="preserve">Az önkormányzati költségvetési szervek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a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kontrollrendszer keret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ében valósul meg, melynek létrehozásáért,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ödtetésért és továbbfejlesztéséért az önkormányzat, és hivatala esetében a 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ézmények esetében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felelős.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tabs>
          <w:tab w:val="left" w:pos="708" w:leader="none"/>
        </w:tabs>
        <w:spacing w:before="0" w:after="0" w:line="240"/>
        <w:ind w:right="0" w:left="43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Záró és vegyes rendelkezések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rendelet 2017. február 14. napján 16 órakor lép hatályba, de rendelkezéseit 2017. január 1.napjától kell alkalmazni.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Az önkormányzat gazdálkodására, költségvetés végrehajtásra, a beszámolás rendjére a  jelen rendeletben nem szabályozott kérdésekben a 2012. évi CCIV. törvény, az államháztartásról szóló  2011. évi CXCV. törvény rendelkezéseit, és az ezekhez kapcsolódó végrehajtási rendeletekben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írtak az irányadók.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K.m.f.</w:t>
      </w:r>
    </w:p>
    <w:tbl>
      <w:tblPr/>
      <w:tblGrid>
        <w:gridCol w:w="4605"/>
        <w:gridCol w:w="4605"/>
      </w:tblGrid>
      <w:tr>
        <w:trPr>
          <w:trHeight w:val="1" w:hRule="atLeast"/>
          <w:jc w:val="center"/>
        </w:trPr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Kovács Csaba s.k.</w:t>
            </w:r>
          </w:p>
        </w:tc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Dr. Kovács Adrienn s.k.</w:t>
            </w:r>
          </w:p>
        </w:tc>
      </w:tr>
      <w:tr>
        <w:trPr>
          <w:trHeight w:val="1" w:hRule="atLeast"/>
          <w:jc w:val="center"/>
        </w:trPr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polgármester</w:t>
            </w:r>
          </w:p>
        </w:tc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jegyz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Kihirdetési záradék:</w:t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rendelet 2017. február 14. napján kihirdetésre került.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Dr. Kovács Adrienn s.k.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